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24.04.2024 № 05-07/738</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30.04.2024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8C215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расходных материалов</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31.10.2024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после поступления письменной заявки от Покупателя. Последняя дата подачи заявки на поставку 23,10.2024. Максимальное количество партий - 5 (пять).</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РУ</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12 (двенадцати) месяцев, а если общий срок годности товра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смп, преимущество инвалидам</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lastRenderedPageBreak/>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2126"/>
        <w:gridCol w:w="5953"/>
        <w:gridCol w:w="709"/>
        <w:gridCol w:w="673"/>
        <w:gridCol w:w="1497"/>
        <w:gridCol w:w="1348"/>
        <w:gridCol w:w="749"/>
        <w:gridCol w:w="1198"/>
        <w:gridCol w:w="1152"/>
      </w:tblGrid>
      <w:tr w:rsidR="00EB2A9A" w:rsidRPr="00565F2A" w:rsidTr="000079CE">
        <w:trPr>
          <w:trHeight w:val="20"/>
          <w:jc w:val="center"/>
        </w:trPr>
        <w:tc>
          <w:tcPr>
            <w:tcW w:w="525" w:type="dxa"/>
            <w:vAlign w:val="center"/>
            <w:hideMark/>
          </w:tcPr>
          <w:p w:rsidR="00EB2A9A" w:rsidRPr="00565F2A" w:rsidRDefault="00EB2A9A" w:rsidP="000079CE">
            <w:pPr>
              <w:spacing w:after="0" w:line="240" w:lineRule="auto"/>
              <w:jc w:val="center"/>
              <w:rPr>
                <w:rFonts w:ascii="Times New Roman" w:hAnsi="Times New Roman" w:cs="Times New Roman"/>
                <w:b/>
                <w:lang w:eastAsia="ru-RU"/>
              </w:rPr>
            </w:pPr>
            <w:r w:rsidRPr="00565F2A">
              <w:rPr>
                <w:rFonts w:ascii="Times New Roman" w:hAnsi="Times New Roman" w:cs="Times New Roman"/>
                <w:b/>
                <w:lang w:eastAsia="ru-RU"/>
              </w:rPr>
              <w:t>№ п/п</w:t>
            </w:r>
          </w:p>
        </w:tc>
        <w:tc>
          <w:tcPr>
            <w:tcW w:w="2126" w:type="dxa"/>
            <w:vAlign w:val="center"/>
            <w:hideMark/>
          </w:tcPr>
          <w:p w:rsidR="00EB2A9A" w:rsidRPr="00565F2A" w:rsidRDefault="00EB2A9A" w:rsidP="000079CE">
            <w:pPr>
              <w:spacing w:after="0" w:line="240" w:lineRule="auto"/>
              <w:jc w:val="center"/>
              <w:rPr>
                <w:rFonts w:ascii="Times New Roman" w:hAnsi="Times New Roman" w:cs="Times New Roman"/>
                <w:b/>
                <w:lang w:eastAsia="ru-RU"/>
              </w:rPr>
            </w:pPr>
            <w:r w:rsidRPr="00565F2A">
              <w:rPr>
                <w:rFonts w:ascii="Times New Roman" w:hAnsi="Times New Roman" w:cs="Times New Roman"/>
                <w:b/>
                <w:lang w:eastAsia="ru-RU"/>
              </w:rPr>
              <w:t xml:space="preserve">Наименование товара </w:t>
            </w:r>
          </w:p>
        </w:tc>
        <w:tc>
          <w:tcPr>
            <w:tcW w:w="5953" w:type="dxa"/>
            <w:vAlign w:val="center"/>
            <w:hideMark/>
          </w:tcPr>
          <w:p w:rsidR="00EB2A9A" w:rsidRPr="00565F2A" w:rsidRDefault="00EB2A9A" w:rsidP="000079CE">
            <w:pPr>
              <w:spacing w:after="0" w:line="240" w:lineRule="auto"/>
              <w:jc w:val="center"/>
              <w:rPr>
                <w:rFonts w:ascii="Times New Roman" w:hAnsi="Times New Roman" w:cs="Times New Roman"/>
                <w:b/>
                <w:lang w:eastAsia="ru-RU"/>
              </w:rPr>
            </w:pPr>
            <w:r w:rsidRPr="00565F2A">
              <w:rPr>
                <w:rFonts w:ascii="Times New Roman" w:hAnsi="Times New Roman" w:cs="Times New Roman"/>
                <w:b/>
                <w:lang w:eastAsia="ru-RU"/>
              </w:rPr>
              <w:t>Требования к качеству, техническим и функциональным характеристикам товара</w:t>
            </w:r>
          </w:p>
        </w:tc>
        <w:tc>
          <w:tcPr>
            <w:tcW w:w="709" w:type="dxa"/>
            <w:vAlign w:val="center"/>
          </w:tcPr>
          <w:p w:rsidR="00EB2A9A" w:rsidRPr="00565F2A" w:rsidRDefault="00EB2A9A" w:rsidP="000079CE">
            <w:pPr>
              <w:spacing w:after="0" w:line="240" w:lineRule="auto"/>
              <w:jc w:val="center"/>
              <w:rPr>
                <w:rFonts w:ascii="Times New Roman" w:hAnsi="Times New Roman" w:cs="Times New Roman"/>
                <w:b/>
                <w:lang w:eastAsia="ru-RU"/>
              </w:rPr>
            </w:pPr>
            <w:r w:rsidRPr="00565F2A">
              <w:rPr>
                <w:rFonts w:ascii="Times New Roman" w:hAnsi="Times New Roman" w:cs="Times New Roman"/>
                <w:b/>
                <w:lang w:eastAsia="ru-RU"/>
              </w:rPr>
              <w:t>Кол-во</w:t>
            </w:r>
          </w:p>
        </w:tc>
        <w:tc>
          <w:tcPr>
            <w:tcW w:w="673" w:type="dxa"/>
            <w:vAlign w:val="center"/>
          </w:tcPr>
          <w:p w:rsidR="00EB2A9A" w:rsidRPr="00565F2A" w:rsidRDefault="00EB2A9A" w:rsidP="000079CE">
            <w:pPr>
              <w:spacing w:after="0" w:line="240" w:lineRule="auto"/>
              <w:jc w:val="center"/>
              <w:rPr>
                <w:rFonts w:ascii="Times New Roman" w:hAnsi="Times New Roman" w:cs="Times New Roman"/>
                <w:b/>
                <w:lang w:eastAsia="ru-RU"/>
              </w:rPr>
            </w:pPr>
            <w:r w:rsidRPr="00565F2A">
              <w:rPr>
                <w:rFonts w:ascii="Times New Roman" w:hAnsi="Times New Roman" w:cs="Times New Roman"/>
                <w:b/>
                <w:lang w:eastAsia="ru-RU"/>
              </w:rPr>
              <w:t>Ед. изм.</w:t>
            </w:r>
          </w:p>
        </w:tc>
        <w:tc>
          <w:tcPr>
            <w:tcW w:w="1497" w:type="dxa"/>
            <w:vAlign w:val="center"/>
          </w:tcPr>
          <w:p w:rsidR="00EB2A9A" w:rsidRPr="00565F2A" w:rsidRDefault="00EB2A9A" w:rsidP="000079CE">
            <w:pPr>
              <w:spacing w:after="0" w:line="240" w:lineRule="auto"/>
              <w:jc w:val="center"/>
              <w:rPr>
                <w:rFonts w:ascii="Times New Roman" w:hAnsi="Times New Roman" w:cs="Times New Roman"/>
                <w:b/>
                <w:lang w:eastAsia="ru-RU"/>
              </w:rPr>
            </w:pPr>
            <w:r w:rsidRPr="00565F2A">
              <w:rPr>
                <w:rFonts w:ascii="Times New Roman" w:hAnsi="Times New Roman" w:cs="Times New Roman"/>
                <w:b/>
                <w:lang w:eastAsia="ru-RU"/>
              </w:rPr>
              <w:t>ОКПД2/ КТРУ</w:t>
            </w:r>
          </w:p>
        </w:tc>
        <w:tc>
          <w:tcPr>
            <w:tcW w:w="1348" w:type="dxa"/>
            <w:shd w:val="clear" w:color="auto" w:fill="FFFFCC"/>
            <w:vAlign w:val="center"/>
          </w:tcPr>
          <w:p w:rsidR="00EB2A9A" w:rsidRPr="00565F2A" w:rsidRDefault="00EB2A9A" w:rsidP="000079CE">
            <w:pPr>
              <w:spacing w:after="0" w:line="240" w:lineRule="auto"/>
              <w:jc w:val="center"/>
              <w:rPr>
                <w:rFonts w:ascii="Times New Roman" w:hAnsi="Times New Roman" w:cs="Times New Roman"/>
                <w:b/>
                <w:lang w:eastAsia="ru-RU"/>
              </w:rPr>
            </w:pPr>
            <w:r w:rsidRPr="00565F2A">
              <w:rPr>
                <w:rFonts w:ascii="Times New Roman" w:hAnsi="Times New Roman" w:cs="Times New Roman"/>
                <w:b/>
                <w:lang w:eastAsia="ru-RU"/>
              </w:rPr>
              <w:t>Страна происхождения</w:t>
            </w:r>
          </w:p>
        </w:tc>
        <w:tc>
          <w:tcPr>
            <w:tcW w:w="749" w:type="dxa"/>
            <w:shd w:val="clear" w:color="auto" w:fill="FFFFCC"/>
            <w:vAlign w:val="center"/>
          </w:tcPr>
          <w:p w:rsidR="00EB2A9A" w:rsidRPr="00565F2A" w:rsidRDefault="00EB2A9A" w:rsidP="000079CE">
            <w:pPr>
              <w:spacing w:after="0" w:line="240" w:lineRule="auto"/>
              <w:jc w:val="center"/>
              <w:rPr>
                <w:rFonts w:ascii="Times New Roman" w:hAnsi="Times New Roman" w:cs="Times New Roman"/>
                <w:b/>
                <w:lang w:eastAsia="ru-RU"/>
              </w:rPr>
            </w:pPr>
            <w:r w:rsidRPr="00565F2A">
              <w:rPr>
                <w:rFonts w:ascii="Times New Roman" w:hAnsi="Times New Roman" w:cs="Times New Roman"/>
                <w:b/>
                <w:lang w:eastAsia="ru-RU"/>
              </w:rPr>
              <w:t>НДС %</w:t>
            </w:r>
          </w:p>
        </w:tc>
        <w:tc>
          <w:tcPr>
            <w:tcW w:w="1198" w:type="dxa"/>
            <w:shd w:val="clear" w:color="auto" w:fill="FFFFCC"/>
            <w:vAlign w:val="center"/>
          </w:tcPr>
          <w:p w:rsidR="00EB2A9A" w:rsidRPr="00565F2A" w:rsidRDefault="00EB2A9A" w:rsidP="000079CE">
            <w:pPr>
              <w:spacing w:after="0" w:line="240" w:lineRule="auto"/>
              <w:jc w:val="center"/>
              <w:rPr>
                <w:rFonts w:ascii="Times New Roman" w:hAnsi="Times New Roman" w:cs="Times New Roman"/>
                <w:b/>
                <w:lang w:eastAsia="ru-RU"/>
              </w:rPr>
            </w:pPr>
            <w:r w:rsidRPr="00565F2A">
              <w:rPr>
                <w:rFonts w:ascii="Times New Roman" w:hAnsi="Times New Roman" w:cs="Times New Roman"/>
                <w:b/>
                <w:lang w:eastAsia="ru-RU"/>
              </w:rPr>
              <w:t>Цена за ед. без НДС (руб.)</w:t>
            </w:r>
          </w:p>
        </w:tc>
        <w:tc>
          <w:tcPr>
            <w:tcW w:w="1152" w:type="dxa"/>
            <w:shd w:val="clear" w:color="auto" w:fill="FFFFCC"/>
            <w:vAlign w:val="center"/>
          </w:tcPr>
          <w:p w:rsidR="00EB2A9A" w:rsidRPr="00565F2A" w:rsidRDefault="00EB2A9A" w:rsidP="000079CE">
            <w:pPr>
              <w:spacing w:after="0" w:line="240" w:lineRule="auto"/>
              <w:jc w:val="center"/>
              <w:rPr>
                <w:rFonts w:ascii="Times New Roman" w:hAnsi="Times New Roman" w:cs="Times New Roman"/>
                <w:b/>
                <w:lang w:eastAsia="ru-RU"/>
              </w:rPr>
            </w:pPr>
            <w:r w:rsidRPr="00565F2A">
              <w:rPr>
                <w:rFonts w:ascii="Times New Roman" w:hAnsi="Times New Roman" w:cs="Times New Roman"/>
                <w:b/>
                <w:lang w:eastAsia="ru-RU"/>
              </w:rPr>
              <w:t>Сумма без НДС (руб.)</w:t>
            </w:r>
          </w:p>
        </w:tc>
      </w:tr>
      <w:tr w:rsidR="00EB2A9A" w:rsidRPr="00565F2A" w:rsidTr="000079CE">
        <w:trPr>
          <w:trHeight w:val="20"/>
          <w:jc w:val="center"/>
        </w:trPr>
        <w:tc>
          <w:tcPr>
            <w:tcW w:w="525" w:type="dxa"/>
          </w:tcPr>
          <w:p w:rsidR="00EB2A9A" w:rsidRPr="00565F2A" w:rsidRDefault="00EB2A9A" w:rsidP="000079CE">
            <w:pPr>
              <w:pStyle w:val="a7"/>
              <w:numPr>
                <w:ilvl w:val="0"/>
                <w:numId w:val="20"/>
              </w:numPr>
              <w:spacing w:after="0" w:line="240" w:lineRule="auto"/>
              <w:ind w:left="139" w:hanging="283"/>
              <w:jc w:val="center"/>
              <w:rPr>
                <w:rFonts w:ascii="Times New Roman" w:hAnsi="Times New Roman" w:cs="Times New Roman"/>
                <w:lang w:eastAsia="ru-RU"/>
              </w:rPr>
            </w:pPr>
          </w:p>
        </w:tc>
        <w:tc>
          <w:tcPr>
            <w:tcW w:w="2126" w:type="dxa"/>
          </w:tcPr>
          <w:p w:rsidR="00EB2A9A" w:rsidRPr="00565F2A" w:rsidRDefault="00EB2A9A" w:rsidP="000079CE">
            <w:pPr>
              <w:rPr>
                <w:rFonts w:ascii="Times New Roman" w:hAnsi="Times New Roman" w:cs="Times New Roman"/>
              </w:rPr>
            </w:pPr>
            <w:r w:rsidRPr="00565F2A">
              <w:rPr>
                <w:rFonts w:ascii="Times New Roman" w:hAnsi="Times New Roman" w:cs="Times New Roman"/>
              </w:rPr>
              <w:t xml:space="preserve">Магистраль для аспирации и антикоагуляции крови </w:t>
            </w:r>
          </w:p>
        </w:tc>
        <w:tc>
          <w:tcPr>
            <w:tcW w:w="5953" w:type="dxa"/>
          </w:tcPr>
          <w:p w:rsidR="00EB2A9A" w:rsidRPr="00565F2A" w:rsidRDefault="00EB2A9A" w:rsidP="000079CE">
            <w:pPr>
              <w:jc w:val="both"/>
              <w:rPr>
                <w:rFonts w:ascii="Times New Roman" w:hAnsi="Times New Roman" w:cs="Times New Roman"/>
              </w:rPr>
            </w:pPr>
            <w:r w:rsidRPr="00565F2A">
              <w:rPr>
                <w:rFonts w:ascii="Times New Roman" w:hAnsi="Times New Roman" w:cs="Times New Roman"/>
              </w:rPr>
              <w:t xml:space="preserve">Предназначена для сбора, антикоагуляции и подачи крови, собранной интраоперационно в коллекторный резервуар. Представляет собой прозрачную пластиковую трубку аспирации совмещенная с линией антикоагуляции и соединенная с ней через камеру смешения крови и антикоагулянта. Линия антикоагуляции оснащена спайк-коннектором, капельной камерой и регулятором потока. Внутренний ее диаметр не менее 6,4 мм (для обеспечения аспирации на любых скоростях), длина линии антикоагуляции не менее 450 см и длина линии аспирации не менее 350 см (для обеспечения мобильности аппарата относительно операционного стола и удобства при действиях операционной бригады). Магистраль адаптирована для стандартных жестких резервуаров. Совместимость с оборудованием - с аппаратом для аутотрансфузии крови «Cell Saver5+», «Cell Saver </w:t>
            </w:r>
            <w:r w:rsidRPr="00565F2A">
              <w:rPr>
                <w:rFonts w:ascii="Times New Roman" w:hAnsi="Times New Roman" w:cs="Times New Roman"/>
                <w:lang w:val="en-US"/>
              </w:rPr>
              <w:t>Elite</w:t>
            </w:r>
            <w:r w:rsidRPr="00565F2A">
              <w:rPr>
                <w:rFonts w:ascii="Times New Roman" w:hAnsi="Times New Roman" w:cs="Times New Roman"/>
              </w:rPr>
              <w:t>»</w:t>
            </w:r>
          </w:p>
          <w:p w:rsidR="00EB2A9A" w:rsidRPr="00565F2A" w:rsidRDefault="00EB2A9A" w:rsidP="000079CE">
            <w:pPr>
              <w:jc w:val="both"/>
              <w:rPr>
                <w:rFonts w:ascii="Times New Roman" w:hAnsi="Times New Roman" w:cs="Times New Roman"/>
              </w:rPr>
            </w:pPr>
            <w:r w:rsidRPr="00565F2A">
              <w:rPr>
                <w:rFonts w:ascii="Times New Roman" w:hAnsi="Times New Roman" w:cs="Times New Roman"/>
              </w:rPr>
              <w:t>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709" w:type="dxa"/>
          </w:tcPr>
          <w:p w:rsidR="00EB2A9A" w:rsidRPr="00565F2A" w:rsidRDefault="00EB2A9A" w:rsidP="000079CE">
            <w:pPr>
              <w:tabs>
                <w:tab w:val="left" w:pos="465"/>
                <w:tab w:val="center" w:pos="601"/>
              </w:tabs>
              <w:jc w:val="center"/>
              <w:rPr>
                <w:rFonts w:ascii="Times New Roman" w:hAnsi="Times New Roman" w:cs="Times New Roman"/>
              </w:rPr>
            </w:pPr>
            <w:r>
              <w:rPr>
                <w:rFonts w:ascii="Times New Roman" w:hAnsi="Times New Roman" w:cs="Times New Roman"/>
              </w:rPr>
              <w:t>45</w:t>
            </w:r>
          </w:p>
        </w:tc>
        <w:tc>
          <w:tcPr>
            <w:tcW w:w="673" w:type="dxa"/>
          </w:tcPr>
          <w:p w:rsidR="00EB2A9A" w:rsidRPr="00565F2A" w:rsidRDefault="00EB2A9A" w:rsidP="000079CE">
            <w:pPr>
              <w:jc w:val="center"/>
              <w:rPr>
                <w:rFonts w:ascii="Times New Roman" w:hAnsi="Times New Roman" w:cs="Times New Roman"/>
              </w:rPr>
            </w:pPr>
            <w:r w:rsidRPr="00565F2A">
              <w:rPr>
                <w:rFonts w:ascii="Times New Roman" w:hAnsi="Times New Roman" w:cs="Times New Roman"/>
              </w:rPr>
              <w:t>шт.</w:t>
            </w:r>
          </w:p>
        </w:tc>
        <w:tc>
          <w:tcPr>
            <w:tcW w:w="1497" w:type="dxa"/>
          </w:tcPr>
          <w:p w:rsidR="00EB2A9A" w:rsidRPr="00565F2A" w:rsidRDefault="00EB2A9A" w:rsidP="000079CE">
            <w:pPr>
              <w:jc w:val="center"/>
              <w:rPr>
                <w:rFonts w:ascii="Times New Roman" w:hAnsi="Times New Roman" w:cs="Times New Roman"/>
              </w:rPr>
            </w:pPr>
            <w:r w:rsidRPr="00565F2A">
              <w:rPr>
                <w:rFonts w:ascii="Times New Roman" w:hAnsi="Times New Roman" w:cs="Times New Roman"/>
              </w:rPr>
              <w:t>32.50.50.190</w:t>
            </w:r>
          </w:p>
        </w:tc>
        <w:tc>
          <w:tcPr>
            <w:tcW w:w="1348" w:type="dxa"/>
            <w:shd w:val="clear" w:color="auto" w:fill="FFFFCC"/>
          </w:tcPr>
          <w:p w:rsidR="00EB2A9A" w:rsidRPr="00565F2A" w:rsidRDefault="00EB2A9A" w:rsidP="000079CE">
            <w:pPr>
              <w:spacing w:after="0" w:line="240" w:lineRule="auto"/>
              <w:jc w:val="center"/>
              <w:rPr>
                <w:rFonts w:ascii="Times New Roman" w:hAnsi="Times New Roman" w:cs="Times New Roman"/>
                <w:lang w:eastAsia="ru-RU"/>
              </w:rPr>
            </w:pPr>
          </w:p>
        </w:tc>
        <w:tc>
          <w:tcPr>
            <w:tcW w:w="749" w:type="dxa"/>
            <w:shd w:val="clear" w:color="auto" w:fill="FFFFCC"/>
          </w:tcPr>
          <w:p w:rsidR="00EB2A9A" w:rsidRPr="00565F2A" w:rsidRDefault="00EB2A9A" w:rsidP="000079CE">
            <w:pPr>
              <w:spacing w:after="0" w:line="240" w:lineRule="auto"/>
              <w:jc w:val="center"/>
              <w:rPr>
                <w:rFonts w:ascii="Times New Roman" w:hAnsi="Times New Roman" w:cs="Times New Roman"/>
                <w:lang w:eastAsia="ru-RU"/>
              </w:rPr>
            </w:pPr>
          </w:p>
        </w:tc>
        <w:tc>
          <w:tcPr>
            <w:tcW w:w="1198" w:type="dxa"/>
            <w:shd w:val="clear" w:color="auto" w:fill="FFFFCC"/>
          </w:tcPr>
          <w:p w:rsidR="00EB2A9A" w:rsidRPr="00565F2A" w:rsidRDefault="00EB2A9A" w:rsidP="000079CE">
            <w:pPr>
              <w:spacing w:after="0" w:line="240" w:lineRule="auto"/>
              <w:jc w:val="center"/>
              <w:rPr>
                <w:rFonts w:ascii="Times New Roman" w:hAnsi="Times New Roman" w:cs="Times New Roman"/>
                <w:lang w:eastAsia="ru-RU"/>
              </w:rPr>
            </w:pPr>
          </w:p>
        </w:tc>
        <w:tc>
          <w:tcPr>
            <w:tcW w:w="1152" w:type="dxa"/>
            <w:shd w:val="clear" w:color="auto" w:fill="FFFFCC"/>
          </w:tcPr>
          <w:p w:rsidR="00EB2A9A" w:rsidRPr="00565F2A" w:rsidRDefault="00EB2A9A" w:rsidP="000079CE">
            <w:pPr>
              <w:spacing w:after="0" w:line="240" w:lineRule="auto"/>
              <w:jc w:val="center"/>
              <w:rPr>
                <w:rFonts w:ascii="Times New Roman" w:hAnsi="Times New Roman" w:cs="Times New Roman"/>
                <w:lang w:eastAsia="ru-RU"/>
              </w:rPr>
            </w:pPr>
          </w:p>
        </w:tc>
      </w:tr>
      <w:tr w:rsidR="00EB2A9A" w:rsidRPr="00565F2A" w:rsidTr="000079CE">
        <w:trPr>
          <w:trHeight w:val="20"/>
          <w:jc w:val="center"/>
        </w:trPr>
        <w:tc>
          <w:tcPr>
            <w:tcW w:w="525" w:type="dxa"/>
          </w:tcPr>
          <w:p w:rsidR="00EB2A9A" w:rsidRPr="00565F2A" w:rsidRDefault="00EB2A9A" w:rsidP="000079CE">
            <w:pPr>
              <w:pStyle w:val="a7"/>
              <w:numPr>
                <w:ilvl w:val="0"/>
                <w:numId w:val="20"/>
              </w:numPr>
              <w:spacing w:after="0" w:line="240" w:lineRule="auto"/>
              <w:ind w:left="139" w:hanging="283"/>
              <w:jc w:val="center"/>
              <w:rPr>
                <w:rFonts w:ascii="Times New Roman" w:hAnsi="Times New Roman" w:cs="Times New Roman"/>
                <w:lang w:eastAsia="ru-RU"/>
              </w:rPr>
            </w:pPr>
          </w:p>
        </w:tc>
        <w:tc>
          <w:tcPr>
            <w:tcW w:w="2126" w:type="dxa"/>
          </w:tcPr>
          <w:p w:rsidR="00EB2A9A" w:rsidRPr="00565F2A" w:rsidRDefault="00EB2A9A" w:rsidP="000079CE">
            <w:pPr>
              <w:rPr>
                <w:rFonts w:ascii="Times New Roman" w:eastAsia="Times New Roman" w:hAnsi="Times New Roman" w:cs="Times New Roman"/>
              </w:rPr>
            </w:pPr>
            <w:r w:rsidRPr="00565F2A">
              <w:rPr>
                <w:rFonts w:ascii="Times New Roman" w:eastAsia="Times New Roman" w:hAnsi="Times New Roman" w:cs="Times New Roman"/>
              </w:rPr>
              <w:t xml:space="preserve">Набор для системы подготовки крови </w:t>
            </w:r>
            <w:r w:rsidRPr="00565F2A">
              <w:rPr>
                <w:rFonts w:ascii="Times New Roman" w:eastAsia="Times New Roman" w:hAnsi="Times New Roman" w:cs="Times New Roman"/>
              </w:rPr>
              <w:lastRenderedPageBreak/>
              <w:t>для аутотрансфузии</w:t>
            </w:r>
          </w:p>
          <w:p w:rsidR="00EB2A9A" w:rsidRPr="00565F2A" w:rsidRDefault="00EB2A9A" w:rsidP="000079CE">
            <w:pPr>
              <w:rPr>
                <w:rFonts w:ascii="Times New Roman" w:hAnsi="Times New Roman" w:cs="Times New Roman"/>
              </w:rPr>
            </w:pPr>
          </w:p>
        </w:tc>
        <w:tc>
          <w:tcPr>
            <w:tcW w:w="5953" w:type="dxa"/>
          </w:tcPr>
          <w:p w:rsidR="00EB2A9A" w:rsidRPr="00565F2A" w:rsidRDefault="00EB2A9A" w:rsidP="000079CE">
            <w:pPr>
              <w:rPr>
                <w:rFonts w:ascii="Times New Roman" w:hAnsi="Times New Roman" w:cs="Times New Roman"/>
              </w:rPr>
            </w:pPr>
            <w:r w:rsidRPr="00565F2A">
              <w:rPr>
                <w:rFonts w:ascii="Times New Roman" w:eastAsia="Times New Roman" w:hAnsi="Times New Roman" w:cs="Times New Roman"/>
                <w:shd w:val="clear" w:color="auto" w:fill="FFFFFF"/>
              </w:rPr>
              <w:lastRenderedPageBreak/>
              <w:t xml:space="preserve">Центрифужная камера – колокол объемом не менее 225 мл (для обработки больших объемов крови при массивном </w:t>
            </w:r>
            <w:r w:rsidRPr="00565F2A">
              <w:rPr>
                <w:rFonts w:ascii="Times New Roman" w:eastAsia="Times New Roman" w:hAnsi="Times New Roman" w:cs="Times New Roman"/>
                <w:shd w:val="clear" w:color="auto" w:fill="FFFFFF"/>
              </w:rPr>
              <w:lastRenderedPageBreak/>
              <w:t>кровотечении). Объем мешка для реинфузии не менее 1000 мл (для обеспечения возможности накопления отмытых эритр</w:t>
            </w:r>
            <w:r w:rsidR="00285B3A">
              <w:rPr>
                <w:rFonts w:ascii="Times New Roman" w:eastAsia="Times New Roman" w:hAnsi="Times New Roman" w:cs="Times New Roman"/>
                <w:shd w:val="clear" w:color="auto" w:fill="FFFFFF"/>
              </w:rPr>
              <w:t>о</w:t>
            </w:r>
            <w:r w:rsidRPr="00565F2A">
              <w:rPr>
                <w:rFonts w:ascii="Times New Roman" w:eastAsia="Times New Roman" w:hAnsi="Times New Roman" w:cs="Times New Roman"/>
                <w:shd w:val="clear" w:color="auto" w:fill="FFFFFF"/>
              </w:rPr>
              <w:t>цитов и дальнейшей их реинфузии в интра- и постоперационном периоде). Гематокрит получаемых отмытых эритроцитов – диапазон не уже от 50 до 60 % (для оптимизации скорости реинфузии и сохранения реологических свойств крови). Объем мешка для отходов не менее 10 л (для уменьшения трудозатрат персонала). Магистрали, колокол, мешки предварительно соединены - наличие (с целью сохранения стерильности внутренней среды системы). Совместимость с оборудованием - с аппаратом для аутотрансфузии крови «Cell Saver5+» или «Cell Saver Elite»  компании Гемонетикс (Haemonetics), имеющимся у Заказчика.</w:t>
            </w:r>
          </w:p>
        </w:tc>
        <w:tc>
          <w:tcPr>
            <w:tcW w:w="709" w:type="dxa"/>
          </w:tcPr>
          <w:p w:rsidR="00EB2A9A" w:rsidRPr="00565F2A" w:rsidRDefault="00EB2A9A" w:rsidP="000079CE">
            <w:pPr>
              <w:jc w:val="center"/>
              <w:rPr>
                <w:rFonts w:ascii="Times New Roman" w:hAnsi="Times New Roman" w:cs="Times New Roman"/>
              </w:rPr>
            </w:pPr>
            <w:r>
              <w:rPr>
                <w:rFonts w:ascii="Times New Roman" w:hAnsi="Times New Roman" w:cs="Times New Roman"/>
              </w:rPr>
              <w:lastRenderedPageBreak/>
              <w:t>24</w:t>
            </w:r>
          </w:p>
        </w:tc>
        <w:tc>
          <w:tcPr>
            <w:tcW w:w="673" w:type="dxa"/>
          </w:tcPr>
          <w:p w:rsidR="00EB2A9A" w:rsidRPr="00565F2A" w:rsidRDefault="00EB2A9A" w:rsidP="000079CE">
            <w:pPr>
              <w:jc w:val="center"/>
              <w:rPr>
                <w:rFonts w:ascii="Times New Roman" w:hAnsi="Times New Roman" w:cs="Times New Roman"/>
              </w:rPr>
            </w:pPr>
            <w:r w:rsidRPr="00565F2A">
              <w:rPr>
                <w:rFonts w:ascii="Times New Roman" w:hAnsi="Times New Roman" w:cs="Times New Roman"/>
              </w:rPr>
              <w:t>шт.</w:t>
            </w:r>
          </w:p>
        </w:tc>
        <w:tc>
          <w:tcPr>
            <w:tcW w:w="1497" w:type="dxa"/>
          </w:tcPr>
          <w:p w:rsidR="00EB2A9A" w:rsidRPr="00565F2A" w:rsidRDefault="00EB2A9A" w:rsidP="000079CE">
            <w:pPr>
              <w:jc w:val="center"/>
              <w:rPr>
                <w:rFonts w:ascii="Times New Roman" w:hAnsi="Times New Roman" w:cs="Times New Roman"/>
              </w:rPr>
            </w:pPr>
            <w:r w:rsidRPr="00565F2A">
              <w:rPr>
                <w:rFonts w:ascii="Times New Roman" w:hAnsi="Times New Roman" w:cs="Times New Roman"/>
              </w:rPr>
              <w:t>32.50.50.190-</w:t>
            </w:r>
            <w:r w:rsidRPr="00565F2A">
              <w:rPr>
                <w:rFonts w:ascii="Times New Roman" w:hAnsi="Times New Roman" w:cs="Times New Roman"/>
              </w:rPr>
              <w:lastRenderedPageBreak/>
              <w:t>00001212*</w:t>
            </w:r>
          </w:p>
        </w:tc>
        <w:tc>
          <w:tcPr>
            <w:tcW w:w="1348" w:type="dxa"/>
            <w:shd w:val="clear" w:color="auto" w:fill="FFFFCC"/>
          </w:tcPr>
          <w:p w:rsidR="00EB2A9A" w:rsidRPr="00565F2A" w:rsidRDefault="00EB2A9A" w:rsidP="000079CE">
            <w:pPr>
              <w:spacing w:after="0" w:line="240" w:lineRule="auto"/>
              <w:jc w:val="center"/>
              <w:rPr>
                <w:rFonts w:ascii="Times New Roman" w:hAnsi="Times New Roman" w:cs="Times New Roman"/>
                <w:lang w:eastAsia="ru-RU"/>
              </w:rPr>
            </w:pPr>
          </w:p>
        </w:tc>
        <w:tc>
          <w:tcPr>
            <w:tcW w:w="749" w:type="dxa"/>
            <w:shd w:val="clear" w:color="auto" w:fill="FFFFCC"/>
          </w:tcPr>
          <w:p w:rsidR="00EB2A9A" w:rsidRPr="00565F2A" w:rsidRDefault="00EB2A9A" w:rsidP="000079CE">
            <w:pPr>
              <w:spacing w:after="0" w:line="240" w:lineRule="auto"/>
              <w:jc w:val="center"/>
              <w:rPr>
                <w:rFonts w:ascii="Times New Roman" w:hAnsi="Times New Roman" w:cs="Times New Roman"/>
                <w:lang w:eastAsia="ru-RU"/>
              </w:rPr>
            </w:pPr>
          </w:p>
        </w:tc>
        <w:tc>
          <w:tcPr>
            <w:tcW w:w="1198" w:type="dxa"/>
            <w:shd w:val="clear" w:color="auto" w:fill="FFFFCC"/>
          </w:tcPr>
          <w:p w:rsidR="00EB2A9A" w:rsidRPr="00565F2A" w:rsidRDefault="00EB2A9A" w:rsidP="000079CE">
            <w:pPr>
              <w:spacing w:after="0" w:line="240" w:lineRule="auto"/>
              <w:jc w:val="center"/>
              <w:rPr>
                <w:rFonts w:ascii="Times New Roman" w:hAnsi="Times New Roman" w:cs="Times New Roman"/>
                <w:lang w:eastAsia="ru-RU"/>
              </w:rPr>
            </w:pPr>
          </w:p>
        </w:tc>
        <w:tc>
          <w:tcPr>
            <w:tcW w:w="1152" w:type="dxa"/>
            <w:shd w:val="clear" w:color="auto" w:fill="FFFFCC"/>
          </w:tcPr>
          <w:p w:rsidR="00EB2A9A" w:rsidRPr="00565F2A" w:rsidRDefault="00EB2A9A" w:rsidP="000079CE">
            <w:pPr>
              <w:spacing w:after="0" w:line="240" w:lineRule="auto"/>
              <w:jc w:val="center"/>
              <w:rPr>
                <w:rFonts w:ascii="Times New Roman" w:hAnsi="Times New Roman" w:cs="Times New Roman"/>
                <w:lang w:eastAsia="ru-RU"/>
              </w:rPr>
            </w:pPr>
          </w:p>
        </w:tc>
      </w:tr>
      <w:tr w:rsidR="00EB2A9A" w:rsidRPr="00565F2A" w:rsidTr="000079CE">
        <w:trPr>
          <w:trHeight w:val="20"/>
          <w:jc w:val="center"/>
        </w:trPr>
        <w:tc>
          <w:tcPr>
            <w:tcW w:w="525" w:type="dxa"/>
          </w:tcPr>
          <w:p w:rsidR="00EB2A9A" w:rsidRPr="00565F2A" w:rsidRDefault="00EB2A9A" w:rsidP="000079CE">
            <w:pPr>
              <w:pStyle w:val="a7"/>
              <w:numPr>
                <w:ilvl w:val="0"/>
                <w:numId w:val="20"/>
              </w:numPr>
              <w:spacing w:after="0" w:line="240" w:lineRule="auto"/>
              <w:ind w:left="139" w:hanging="283"/>
              <w:jc w:val="center"/>
              <w:rPr>
                <w:rFonts w:ascii="Times New Roman" w:hAnsi="Times New Roman" w:cs="Times New Roman"/>
                <w:lang w:eastAsia="ru-RU"/>
              </w:rPr>
            </w:pPr>
          </w:p>
        </w:tc>
        <w:tc>
          <w:tcPr>
            <w:tcW w:w="2126" w:type="dxa"/>
          </w:tcPr>
          <w:p w:rsidR="00EB2A9A" w:rsidRPr="00565F2A" w:rsidRDefault="00EB2A9A" w:rsidP="000079CE">
            <w:pPr>
              <w:rPr>
                <w:rFonts w:ascii="Times New Roman" w:hAnsi="Times New Roman" w:cs="Times New Roman"/>
              </w:rPr>
            </w:pPr>
            <w:r w:rsidRPr="00565F2A">
              <w:rPr>
                <w:rFonts w:ascii="Times New Roman" w:hAnsi="Times New Roman" w:cs="Times New Roman"/>
              </w:rPr>
              <w:t>Планшет для типирования групп крови на 4 лунки</w:t>
            </w:r>
          </w:p>
        </w:tc>
        <w:tc>
          <w:tcPr>
            <w:tcW w:w="5953" w:type="dxa"/>
          </w:tcPr>
          <w:p w:rsidR="00EB2A9A" w:rsidRPr="00565F2A" w:rsidRDefault="00EB2A9A" w:rsidP="000079CE">
            <w:pPr>
              <w:jc w:val="both"/>
              <w:rPr>
                <w:rFonts w:ascii="Times New Roman" w:hAnsi="Times New Roman" w:cs="Times New Roman"/>
              </w:rPr>
            </w:pPr>
            <w:r w:rsidRPr="00565F2A">
              <w:rPr>
                <w:rFonts w:ascii="Times New Roman" w:hAnsi="Times New Roman" w:cs="Times New Roman"/>
              </w:rPr>
              <w:t xml:space="preserve">Планшет для типирования групп крови. Материал изделия поливинилхлорид. Предназначен для типирования группы крови отдельного пациента по системе АВ0 Цоликлонами анти-А, анти-В и анти-АВ и по системе «Резус» Цоликлоном анти-D. Планшет молочно-белого цвета, имеет 4 лунки диаметром 26 мм, глубиной 3 мм обеспечивающих хороший визуальный контроль реакции. Лунки имеют буквенную маркировку "AB" и "D". Планшет предназначен для проведения индивидуального первичного типирования крови пациента. Размер планшета 148х48 мм. </w:t>
            </w:r>
          </w:p>
        </w:tc>
        <w:tc>
          <w:tcPr>
            <w:tcW w:w="709" w:type="dxa"/>
          </w:tcPr>
          <w:p w:rsidR="00EB2A9A" w:rsidRPr="00565F2A" w:rsidRDefault="00EB2A9A" w:rsidP="000079CE">
            <w:pPr>
              <w:jc w:val="center"/>
              <w:rPr>
                <w:rFonts w:ascii="Times New Roman" w:hAnsi="Times New Roman" w:cs="Times New Roman"/>
              </w:rPr>
            </w:pPr>
            <w:r w:rsidRPr="00565F2A">
              <w:rPr>
                <w:rFonts w:ascii="Times New Roman" w:hAnsi="Times New Roman" w:cs="Times New Roman"/>
              </w:rPr>
              <w:t>2600</w:t>
            </w:r>
          </w:p>
        </w:tc>
        <w:tc>
          <w:tcPr>
            <w:tcW w:w="673" w:type="dxa"/>
          </w:tcPr>
          <w:p w:rsidR="00EB2A9A" w:rsidRPr="00565F2A" w:rsidRDefault="00EB2A9A" w:rsidP="000079CE">
            <w:pPr>
              <w:jc w:val="center"/>
              <w:rPr>
                <w:rFonts w:ascii="Times New Roman" w:hAnsi="Times New Roman" w:cs="Times New Roman"/>
              </w:rPr>
            </w:pPr>
            <w:r w:rsidRPr="00565F2A">
              <w:rPr>
                <w:rFonts w:ascii="Times New Roman" w:hAnsi="Times New Roman" w:cs="Times New Roman"/>
              </w:rPr>
              <w:t>шт.</w:t>
            </w:r>
          </w:p>
        </w:tc>
        <w:tc>
          <w:tcPr>
            <w:tcW w:w="1497" w:type="dxa"/>
          </w:tcPr>
          <w:p w:rsidR="00EB2A9A" w:rsidRPr="00565F2A" w:rsidRDefault="00EB2A9A" w:rsidP="000079CE">
            <w:pPr>
              <w:jc w:val="center"/>
              <w:rPr>
                <w:rFonts w:ascii="Times New Roman" w:hAnsi="Times New Roman" w:cs="Times New Roman"/>
              </w:rPr>
            </w:pPr>
            <w:r w:rsidRPr="00565F2A">
              <w:rPr>
                <w:rFonts w:ascii="Times New Roman" w:hAnsi="Times New Roman" w:cs="Times New Roman"/>
              </w:rPr>
              <w:t>32.50.50.190</w:t>
            </w:r>
          </w:p>
        </w:tc>
        <w:tc>
          <w:tcPr>
            <w:tcW w:w="1348" w:type="dxa"/>
            <w:shd w:val="clear" w:color="auto" w:fill="FFFFCC"/>
          </w:tcPr>
          <w:p w:rsidR="00EB2A9A" w:rsidRPr="00565F2A" w:rsidRDefault="00EB2A9A" w:rsidP="000079CE">
            <w:pPr>
              <w:spacing w:after="0" w:line="240" w:lineRule="auto"/>
              <w:jc w:val="center"/>
              <w:rPr>
                <w:rFonts w:ascii="Times New Roman" w:hAnsi="Times New Roman" w:cs="Times New Roman"/>
                <w:lang w:eastAsia="ru-RU"/>
              </w:rPr>
            </w:pPr>
          </w:p>
        </w:tc>
        <w:tc>
          <w:tcPr>
            <w:tcW w:w="749" w:type="dxa"/>
            <w:shd w:val="clear" w:color="auto" w:fill="FFFFCC"/>
          </w:tcPr>
          <w:p w:rsidR="00EB2A9A" w:rsidRPr="00565F2A" w:rsidRDefault="00EB2A9A" w:rsidP="000079CE">
            <w:pPr>
              <w:spacing w:after="0" w:line="240" w:lineRule="auto"/>
              <w:jc w:val="center"/>
              <w:rPr>
                <w:rFonts w:ascii="Times New Roman" w:hAnsi="Times New Roman" w:cs="Times New Roman"/>
                <w:lang w:eastAsia="ru-RU"/>
              </w:rPr>
            </w:pPr>
          </w:p>
        </w:tc>
        <w:tc>
          <w:tcPr>
            <w:tcW w:w="1198" w:type="dxa"/>
            <w:shd w:val="clear" w:color="auto" w:fill="FFFFCC"/>
          </w:tcPr>
          <w:p w:rsidR="00EB2A9A" w:rsidRPr="00565F2A" w:rsidRDefault="00EB2A9A" w:rsidP="000079CE">
            <w:pPr>
              <w:spacing w:after="0" w:line="240" w:lineRule="auto"/>
              <w:jc w:val="center"/>
              <w:rPr>
                <w:rFonts w:ascii="Times New Roman" w:hAnsi="Times New Roman" w:cs="Times New Roman"/>
                <w:lang w:eastAsia="ru-RU"/>
              </w:rPr>
            </w:pPr>
          </w:p>
        </w:tc>
        <w:tc>
          <w:tcPr>
            <w:tcW w:w="1152" w:type="dxa"/>
            <w:shd w:val="clear" w:color="auto" w:fill="FFFFCC"/>
          </w:tcPr>
          <w:p w:rsidR="00EB2A9A" w:rsidRPr="00565F2A" w:rsidRDefault="00EB2A9A" w:rsidP="000079CE">
            <w:pPr>
              <w:spacing w:after="0" w:line="240" w:lineRule="auto"/>
              <w:jc w:val="center"/>
              <w:rPr>
                <w:rFonts w:ascii="Times New Roman" w:hAnsi="Times New Roman" w:cs="Times New Roman"/>
                <w:lang w:eastAsia="ru-RU"/>
              </w:rPr>
            </w:pPr>
          </w:p>
        </w:tc>
      </w:tr>
      <w:tr w:rsidR="00EB2A9A" w:rsidRPr="00565F2A" w:rsidTr="000079CE">
        <w:trPr>
          <w:trHeight w:val="20"/>
          <w:jc w:val="center"/>
        </w:trPr>
        <w:tc>
          <w:tcPr>
            <w:tcW w:w="525" w:type="dxa"/>
          </w:tcPr>
          <w:p w:rsidR="00EB2A9A" w:rsidRPr="00565F2A" w:rsidRDefault="00EB2A9A" w:rsidP="000079CE">
            <w:pPr>
              <w:pStyle w:val="a7"/>
              <w:numPr>
                <w:ilvl w:val="0"/>
                <w:numId w:val="20"/>
              </w:numPr>
              <w:spacing w:after="0" w:line="240" w:lineRule="auto"/>
              <w:ind w:left="139" w:hanging="283"/>
              <w:jc w:val="center"/>
              <w:rPr>
                <w:rFonts w:ascii="Times New Roman" w:hAnsi="Times New Roman" w:cs="Times New Roman"/>
                <w:lang w:eastAsia="ru-RU"/>
              </w:rPr>
            </w:pPr>
          </w:p>
        </w:tc>
        <w:tc>
          <w:tcPr>
            <w:tcW w:w="2126" w:type="dxa"/>
          </w:tcPr>
          <w:p w:rsidR="00EB2A9A" w:rsidRPr="00565F2A" w:rsidRDefault="00EB2A9A" w:rsidP="000079CE">
            <w:pPr>
              <w:rPr>
                <w:rFonts w:ascii="Times New Roman" w:hAnsi="Times New Roman" w:cs="Times New Roman"/>
              </w:rPr>
            </w:pPr>
            <w:r w:rsidRPr="00565F2A">
              <w:rPr>
                <w:rFonts w:ascii="Times New Roman" w:hAnsi="Times New Roman" w:cs="Times New Roman"/>
                <w:shd w:val="clear" w:color="auto" w:fill="FFFFFF"/>
              </w:rPr>
              <w:t>Контейнер для системы подготовки крови для аутотрансфузии</w:t>
            </w:r>
          </w:p>
        </w:tc>
        <w:tc>
          <w:tcPr>
            <w:tcW w:w="5953" w:type="dxa"/>
          </w:tcPr>
          <w:p w:rsidR="00EB2A9A" w:rsidRPr="00565F2A" w:rsidRDefault="00EB2A9A" w:rsidP="000079CE">
            <w:pPr>
              <w:jc w:val="both"/>
              <w:rPr>
                <w:rFonts w:ascii="Times New Roman" w:hAnsi="Times New Roman" w:cs="Times New Roman"/>
              </w:rPr>
            </w:pPr>
            <w:r w:rsidRPr="00565F2A">
              <w:rPr>
                <w:rFonts w:ascii="Times New Roman" w:hAnsi="Times New Roman" w:cs="Times New Roman"/>
              </w:rPr>
              <w:t xml:space="preserve">Диаметр пор интегрированного микроагрегатного фильтра не более 150 мкм (согласно требованиям регламента по заготовке аутокрови). Максимальный объем резервуара не менее 3000 мл (для сбора крови при массивных кровопотерях с учетом использования промывных </w:t>
            </w:r>
            <w:r w:rsidRPr="00565F2A">
              <w:rPr>
                <w:rFonts w:ascii="Times New Roman" w:hAnsi="Times New Roman" w:cs="Times New Roman"/>
              </w:rPr>
              <w:lastRenderedPageBreak/>
              <w:t>растворов). Возможность многократного интра- и постоперационного сбора аутокрови – наличие (с целью применения при длительных операциях с массивной кровопотерей). Порты для подключения магистрали аспирации-антикоагуляции, порт для вакуумного аспиратора, порты для введения растворов - наличие. Совместимость с оборудованием - с аппаратом для аутотрансфузии крови «Cell Saver5+» компании Гемонетикс (Haemonetics), имеющимся у Заказчика.</w:t>
            </w:r>
          </w:p>
        </w:tc>
        <w:tc>
          <w:tcPr>
            <w:tcW w:w="709" w:type="dxa"/>
          </w:tcPr>
          <w:p w:rsidR="00EB2A9A" w:rsidRPr="00565F2A" w:rsidRDefault="00EB2A9A" w:rsidP="000079CE">
            <w:pPr>
              <w:jc w:val="center"/>
              <w:rPr>
                <w:rFonts w:ascii="Times New Roman" w:hAnsi="Times New Roman" w:cs="Times New Roman"/>
              </w:rPr>
            </w:pPr>
            <w:r>
              <w:rPr>
                <w:rFonts w:ascii="Times New Roman" w:hAnsi="Times New Roman" w:cs="Times New Roman"/>
              </w:rPr>
              <w:lastRenderedPageBreak/>
              <w:t>24</w:t>
            </w:r>
          </w:p>
        </w:tc>
        <w:tc>
          <w:tcPr>
            <w:tcW w:w="673" w:type="dxa"/>
          </w:tcPr>
          <w:p w:rsidR="00EB2A9A" w:rsidRPr="00565F2A" w:rsidRDefault="00EB2A9A" w:rsidP="000079CE">
            <w:pPr>
              <w:jc w:val="center"/>
              <w:rPr>
                <w:rFonts w:ascii="Times New Roman" w:hAnsi="Times New Roman" w:cs="Times New Roman"/>
              </w:rPr>
            </w:pPr>
            <w:r w:rsidRPr="00565F2A">
              <w:rPr>
                <w:rFonts w:ascii="Times New Roman" w:hAnsi="Times New Roman" w:cs="Times New Roman"/>
              </w:rPr>
              <w:t>шт</w:t>
            </w:r>
          </w:p>
        </w:tc>
        <w:tc>
          <w:tcPr>
            <w:tcW w:w="1497" w:type="dxa"/>
          </w:tcPr>
          <w:p w:rsidR="00EB2A9A" w:rsidRPr="00565F2A" w:rsidRDefault="00EB2A9A" w:rsidP="000079CE">
            <w:pPr>
              <w:jc w:val="center"/>
              <w:rPr>
                <w:rFonts w:ascii="Times New Roman" w:hAnsi="Times New Roman" w:cs="Times New Roman"/>
              </w:rPr>
            </w:pPr>
            <w:r w:rsidRPr="00565F2A">
              <w:rPr>
                <w:rFonts w:ascii="Times New Roman" w:hAnsi="Times New Roman" w:cs="Times New Roman"/>
              </w:rPr>
              <w:t>32.50.50.190-00001210*</w:t>
            </w:r>
          </w:p>
        </w:tc>
        <w:tc>
          <w:tcPr>
            <w:tcW w:w="1348" w:type="dxa"/>
            <w:shd w:val="clear" w:color="auto" w:fill="FFFFCC"/>
          </w:tcPr>
          <w:p w:rsidR="00EB2A9A" w:rsidRPr="00565F2A" w:rsidRDefault="00EB2A9A" w:rsidP="000079CE">
            <w:pPr>
              <w:spacing w:after="0" w:line="240" w:lineRule="auto"/>
              <w:jc w:val="center"/>
              <w:rPr>
                <w:rFonts w:ascii="Times New Roman" w:hAnsi="Times New Roman" w:cs="Times New Roman"/>
                <w:lang w:eastAsia="ru-RU"/>
              </w:rPr>
            </w:pPr>
          </w:p>
        </w:tc>
        <w:tc>
          <w:tcPr>
            <w:tcW w:w="749" w:type="dxa"/>
            <w:shd w:val="clear" w:color="auto" w:fill="FFFFCC"/>
          </w:tcPr>
          <w:p w:rsidR="00EB2A9A" w:rsidRPr="00565F2A" w:rsidRDefault="00EB2A9A" w:rsidP="000079CE">
            <w:pPr>
              <w:spacing w:after="0" w:line="240" w:lineRule="auto"/>
              <w:jc w:val="center"/>
              <w:rPr>
                <w:rFonts w:ascii="Times New Roman" w:hAnsi="Times New Roman" w:cs="Times New Roman"/>
                <w:lang w:eastAsia="ru-RU"/>
              </w:rPr>
            </w:pPr>
          </w:p>
        </w:tc>
        <w:tc>
          <w:tcPr>
            <w:tcW w:w="1198" w:type="dxa"/>
            <w:shd w:val="clear" w:color="auto" w:fill="FFFFCC"/>
          </w:tcPr>
          <w:p w:rsidR="00EB2A9A" w:rsidRPr="00565F2A" w:rsidRDefault="00EB2A9A" w:rsidP="000079CE">
            <w:pPr>
              <w:spacing w:after="0" w:line="240" w:lineRule="auto"/>
              <w:jc w:val="center"/>
              <w:rPr>
                <w:rFonts w:ascii="Times New Roman" w:hAnsi="Times New Roman" w:cs="Times New Roman"/>
                <w:lang w:eastAsia="ru-RU"/>
              </w:rPr>
            </w:pPr>
          </w:p>
        </w:tc>
        <w:tc>
          <w:tcPr>
            <w:tcW w:w="1152" w:type="dxa"/>
            <w:shd w:val="clear" w:color="auto" w:fill="FFFFCC"/>
          </w:tcPr>
          <w:p w:rsidR="00EB2A9A" w:rsidRPr="00565F2A" w:rsidRDefault="00EB2A9A" w:rsidP="000079CE">
            <w:pPr>
              <w:spacing w:after="0" w:line="240" w:lineRule="auto"/>
              <w:jc w:val="center"/>
              <w:rPr>
                <w:rFonts w:ascii="Times New Roman" w:hAnsi="Times New Roman" w:cs="Times New Roman"/>
                <w:lang w:eastAsia="ru-RU"/>
              </w:rPr>
            </w:pPr>
          </w:p>
        </w:tc>
      </w:tr>
      <w:tr w:rsidR="00EB2A9A" w:rsidRPr="00565F2A" w:rsidTr="000079CE">
        <w:trPr>
          <w:trHeight w:val="20"/>
          <w:jc w:val="center"/>
        </w:trPr>
        <w:tc>
          <w:tcPr>
            <w:tcW w:w="525" w:type="dxa"/>
          </w:tcPr>
          <w:p w:rsidR="00EB2A9A" w:rsidRPr="00565F2A" w:rsidRDefault="00EB2A9A" w:rsidP="000079CE">
            <w:pPr>
              <w:pStyle w:val="a7"/>
              <w:numPr>
                <w:ilvl w:val="0"/>
                <w:numId w:val="20"/>
              </w:numPr>
              <w:spacing w:after="0" w:line="240" w:lineRule="auto"/>
              <w:ind w:left="139" w:hanging="283"/>
              <w:jc w:val="center"/>
              <w:rPr>
                <w:rFonts w:ascii="Times New Roman" w:hAnsi="Times New Roman" w:cs="Times New Roman"/>
                <w:lang w:eastAsia="ru-RU"/>
              </w:rPr>
            </w:pPr>
          </w:p>
        </w:tc>
        <w:tc>
          <w:tcPr>
            <w:tcW w:w="2126" w:type="dxa"/>
          </w:tcPr>
          <w:p w:rsidR="00EB2A9A" w:rsidRPr="00565F2A" w:rsidRDefault="00EB2A9A" w:rsidP="000079CE">
            <w:pPr>
              <w:rPr>
                <w:rFonts w:ascii="Times New Roman" w:hAnsi="Times New Roman" w:cs="Times New Roman"/>
                <w:shd w:val="clear" w:color="auto" w:fill="FFFFFF"/>
              </w:rPr>
            </w:pPr>
            <w:r w:rsidRPr="00565F2A">
              <w:rPr>
                <w:rFonts w:ascii="Times New Roman" w:hAnsi="Times New Roman"/>
                <w:sz w:val="20"/>
                <w:szCs w:val="20"/>
              </w:rPr>
              <w:t>Устройство безыгольного доступа</w:t>
            </w:r>
          </w:p>
        </w:tc>
        <w:tc>
          <w:tcPr>
            <w:tcW w:w="5953" w:type="dxa"/>
          </w:tcPr>
          <w:p w:rsidR="00EB2A9A" w:rsidRPr="00565F2A" w:rsidRDefault="00EB2A9A" w:rsidP="000079CE">
            <w:pPr>
              <w:jc w:val="both"/>
              <w:rPr>
                <w:rFonts w:ascii="Times New Roman" w:hAnsi="Times New Roman" w:cs="Times New Roman"/>
              </w:rPr>
            </w:pPr>
            <w:r w:rsidRPr="00565F2A">
              <w:rPr>
                <w:rFonts w:ascii="Times New Roman" w:hAnsi="Times New Roman"/>
                <w:sz w:val="20"/>
                <w:szCs w:val="20"/>
              </w:rPr>
              <w:t>Стерильное устройство безыгольного доступа с расщепленной мембраной, без кнопочных элементов, представляет собой пластиковый прозрачный терминальный колпачок для венозных катетеров с двусторонним коннектором Луэр-Лок, внутрь которого интегрирована эластичная силиконовая мембрана толщиной не более 10 мм, расщепленная на две части, обе части плотно и герметично прилегают друг к другу, когда устройство не используется, и открываются при присоединении к устройству шприца или инфузионной линии, плотно и герметично обхватывая присоединяемый коннектор Луэра для предотвращения контаминации сосудистого русла. Максимальная скорость вливания препаратов через устройство не менее 20 литров в час; внутренний объем заполнения устройства не более 0,25 мл.</w:t>
            </w:r>
          </w:p>
        </w:tc>
        <w:tc>
          <w:tcPr>
            <w:tcW w:w="709" w:type="dxa"/>
          </w:tcPr>
          <w:p w:rsidR="00EB2A9A" w:rsidRPr="00565F2A" w:rsidRDefault="00EB2A9A" w:rsidP="000079CE">
            <w:pPr>
              <w:jc w:val="center"/>
              <w:rPr>
                <w:rFonts w:ascii="Times New Roman" w:hAnsi="Times New Roman" w:cs="Times New Roman"/>
              </w:rPr>
            </w:pPr>
            <w:r>
              <w:rPr>
                <w:rFonts w:ascii="Times New Roman" w:hAnsi="Times New Roman" w:cs="Times New Roman"/>
              </w:rPr>
              <w:t>1800</w:t>
            </w:r>
          </w:p>
        </w:tc>
        <w:tc>
          <w:tcPr>
            <w:tcW w:w="673" w:type="dxa"/>
          </w:tcPr>
          <w:p w:rsidR="00EB2A9A" w:rsidRPr="00565F2A" w:rsidRDefault="00EB2A9A" w:rsidP="000079CE">
            <w:pPr>
              <w:jc w:val="center"/>
              <w:rPr>
                <w:rFonts w:ascii="Times New Roman" w:hAnsi="Times New Roman" w:cs="Times New Roman"/>
              </w:rPr>
            </w:pPr>
            <w:r w:rsidRPr="00565F2A">
              <w:rPr>
                <w:rFonts w:ascii="Times New Roman" w:hAnsi="Times New Roman" w:cs="Times New Roman"/>
              </w:rPr>
              <w:t>шт</w:t>
            </w:r>
          </w:p>
        </w:tc>
        <w:tc>
          <w:tcPr>
            <w:tcW w:w="1497" w:type="dxa"/>
          </w:tcPr>
          <w:p w:rsidR="00EB2A9A" w:rsidRPr="00565F2A" w:rsidRDefault="00EB2A9A" w:rsidP="000079CE">
            <w:pPr>
              <w:jc w:val="center"/>
              <w:rPr>
                <w:rFonts w:ascii="Times New Roman" w:hAnsi="Times New Roman" w:cs="Times New Roman"/>
              </w:rPr>
            </w:pPr>
            <w:r w:rsidRPr="00565F2A">
              <w:rPr>
                <w:rFonts w:ascii="Times New Roman" w:hAnsi="Times New Roman" w:cs="Times New Roman"/>
              </w:rPr>
              <w:t>32.50.50.190</w:t>
            </w:r>
          </w:p>
        </w:tc>
        <w:tc>
          <w:tcPr>
            <w:tcW w:w="1348" w:type="dxa"/>
            <w:shd w:val="clear" w:color="auto" w:fill="FFFFCC"/>
          </w:tcPr>
          <w:p w:rsidR="00EB2A9A" w:rsidRPr="00565F2A" w:rsidRDefault="00EB2A9A" w:rsidP="000079CE">
            <w:pPr>
              <w:spacing w:after="0" w:line="240" w:lineRule="auto"/>
              <w:jc w:val="center"/>
              <w:rPr>
                <w:rFonts w:ascii="Times New Roman" w:hAnsi="Times New Roman" w:cs="Times New Roman"/>
                <w:lang w:eastAsia="ru-RU"/>
              </w:rPr>
            </w:pPr>
          </w:p>
        </w:tc>
        <w:tc>
          <w:tcPr>
            <w:tcW w:w="749" w:type="dxa"/>
            <w:shd w:val="clear" w:color="auto" w:fill="FFFFCC"/>
          </w:tcPr>
          <w:p w:rsidR="00EB2A9A" w:rsidRPr="00565F2A" w:rsidRDefault="00EB2A9A" w:rsidP="000079CE">
            <w:pPr>
              <w:spacing w:after="0" w:line="240" w:lineRule="auto"/>
              <w:jc w:val="center"/>
              <w:rPr>
                <w:rFonts w:ascii="Times New Roman" w:hAnsi="Times New Roman" w:cs="Times New Roman"/>
                <w:lang w:eastAsia="ru-RU"/>
              </w:rPr>
            </w:pPr>
          </w:p>
        </w:tc>
        <w:tc>
          <w:tcPr>
            <w:tcW w:w="1198" w:type="dxa"/>
            <w:shd w:val="clear" w:color="auto" w:fill="FFFFCC"/>
          </w:tcPr>
          <w:p w:rsidR="00EB2A9A" w:rsidRPr="00565F2A" w:rsidRDefault="00EB2A9A" w:rsidP="000079CE">
            <w:pPr>
              <w:spacing w:after="0" w:line="240" w:lineRule="auto"/>
              <w:jc w:val="center"/>
              <w:rPr>
                <w:rFonts w:ascii="Times New Roman" w:hAnsi="Times New Roman" w:cs="Times New Roman"/>
                <w:lang w:eastAsia="ru-RU"/>
              </w:rPr>
            </w:pPr>
          </w:p>
        </w:tc>
        <w:tc>
          <w:tcPr>
            <w:tcW w:w="1152" w:type="dxa"/>
            <w:shd w:val="clear" w:color="auto" w:fill="FFFFCC"/>
          </w:tcPr>
          <w:p w:rsidR="00EB2A9A" w:rsidRPr="00565F2A" w:rsidRDefault="00EB2A9A" w:rsidP="000079CE">
            <w:pPr>
              <w:spacing w:after="0" w:line="240" w:lineRule="auto"/>
              <w:jc w:val="center"/>
              <w:rPr>
                <w:rFonts w:ascii="Times New Roman" w:hAnsi="Times New Roman" w:cs="Times New Roman"/>
                <w:lang w:eastAsia="ru-RU"/>
              </w:rPr>
            </w:pPr>
          </w:p>
        </w:tc>
      </w:tr>
      <w:tr w:rsidR="00EB2A9A" w:rsidRPr="002B2BA7" w:rsidTr="000079CE">
        <w:trPr>
          <w:trHeight w:val="20"/>
          <w:jc w:val="center"/>
        </w:trPr>
        <w:tc>
          <w:tcPr>
            <w:tcW w:w="525" w:type="dxa"/>
          </w:tcPr>
          <w:p w:rsidR="00EB2A9A" w:rsidRPr="00565F2A" w:rsidRDefault="00EB2A9A" w:rsidP="000079CE">
            <w:pPr>
              <w:pStyle w:val="a7"/>
              <w:numPr>
                <w:ilvl w:val="0"/>
                <w:numId w:val="20"/>
              </w:numPr>
              <w:spacing w:after="0" w:line="240" w:lineRule="auto"/>
              <w:ind w:left="139" w:hanging="283"/>
              <w:jc w:val="center"/>
              <w:rPr>
                <w:rFonts w:ascii="Times New Roman" w:hAnsi="Times New Roman" w:cs="Times New Roman"/>
                <w:lang w:eastAsia="ru-RU"/>
              </w:rPr>
            </w:pPr>
          </w:p>
        </w:tc>
        <w:tc>
          <w:tcPr>
            <w:tcW w:w="2126" w:type="dxa"/>
          </w:tcPr>
          <w:p w:rsidR="00EB2A9A" w:rsidRPr="00B73469" w:rsidRDefault="00EB2A9A" w:rsidP="000079CE">
            <w:pPr>
              <w:rPr>
                <w:rFonts w:ascii="Times New Roman" w:hAnsi="Times New Roman" w:cs="Times New Roman"/>
              </w:rPr>
            </w:pPr>
            <w:r w:rsidRPr="00EF4801">
              <w:rPr>
                <w:rFonts w:ascii="Times New Roman" w:hAnsi="Times New Roman" w:cs="Times New Roman"/>
              </w:rPr>
              <w:t>Набор для системы подготовки крови для аутотрансфузии</w:t>
            </w:r>
          </w:p>
        </w:tc>
        <w:tc>
          <w:tcPr>
            <w:tcW w:w="5953" w:type="dxa"/>
          </w:tcPr>
          <w:p w:rsidR="00EB2A9A" w:rsidRDefault="00EB2A9A" w:rsidP="000079CE">
            <w:pPr>
              <w:jc w:val="both"/>
              <w:rPr>
                <w:rFonts w:ascii="Times New Roman" w:hAnsi="Times New Roman" w:cs="Times New Roman"/>
              </w:rPr>
            </w:pPr>
            <w:r w:rsidRPr="00EF4801">
              <w:rPr>
                <w:rFonts w:ascii="Times New Roman" w:hAnsi="Times New Roman" w:cs="Times New Roman"/>
              </w:rPr>
              <w:t xml:space="preserve">Центрифужная камера – колокол объемом не менее 225 мл (для обработки больших объемов крови при массивном кровотечении). Объем мешка для реинфузии не менее 1000 мл (для обеспечения возможности накопления отмытых </w:t>
            </w:r>
            <w:r w:rsidR="00451DA4" w:rsidRPr="00EF4801">
              <w:rPr>
                <w:rFonts w:ascii="Times New Roman" w:hAnsi="Times New Roman" w:cs="Times New Roman"/>
              </w:rPr>
              <w:t>эритроцитов</w:t>
            </w:r>
            <w:r w:rsidRPr="00EF4801">
              <w:rPr>
                <w:rFonts w:ascii="Times New Roman" w:hAnsi="Times New Roman" w:cs="Times New Roman"/>
              </w:rPr>
              <w:t xml:space="preserve"> и дальнейшей их реинфузии в интра- и постоперационном периоде). Гематокрит получаемых отмытых эритроцитов – диапазон не уже от 50 до 60 % (для оптимизации скорости реинфузии и сохранения реологических свойств крови). Объем мешка для отходов не менее 10 л (для уменьшения трудозатрат персонала). Магистрали, колокол, мешки пред</w:t>
            </w:r>
            <w:r>
              <w:rPr>
                <w:rFonts w:ascii="Times New Roman" w:hAnsi="Times New Roman" w:cs="Times New Roman"/>
              </w:rPr>
              <w:t xml:space="preserve">варительно соединены - </w:t>
            </w:r>
            <w:r w:rsidRPr="00EF4801">
              <w:rPr>
                <w:rFonts w:ascii="Times New Roman" w:hAnsi="Times New Roman" w:cs="Times New Roman"/>
              </w:rPr>
              <w:t>с целью сохранения стерил</w:t>
            </w:r>
            <w:r>
              <w:rPr>
                <w:rFonts w:ascii="Times New Roman" w:hAnsi="Times New Roman" w:cs="Times New Roman"/>
              </w:rPr>
              <w:t>ьности внутренней среды системы</w:t>
            </w:r>
            <w:r w:rsidRPr="00EF4801">
              <w:rPr>
                <w:rFonts w:ascii="Times New Roman" w:hAnsi="Times New Roman" w:cs="Times New Roman"/>
              </w:rPr>
              <w:t>. Совместимость с оборудованием - с аппаратом для аутот</w:t>
            </w:r>
            <w:r>
              <w:rPr>
                <w:rFonts w:ascii="Times New Roman" w:hAnsi="Times New Roman" w:cs="Times New Roman"/>
              </w:rPr>
              <w:t xml:space="preserve">рансфузии крови «Cell Saver5+» </w:t>
            </w:r>
          </w:p>
          <w:p w:rsidR="00EB2A9A" w:rsidRPr="00EF4801" w:rsidRDefault="00EB2A9A" w:rsidP="000079CE">
            <w:pPr>
              <w:jc w:val="both"/>
              <w:rPr>
                <w:rFonts w:ascii="Times New Roman" w:hAnsi="Times New Roman" w:cs="Times New Roman"/>
              </w:rPr>
            </w:pPr>
            <w:r w:rsidRPr="00671531">
              <w:rPr>
                <w:rFonts w:ascii="Times New Roman" w:hAnsi="Times New Roman" w:cs="Times New Roman"/>
                <w:sz w:val="20"/>
                <w:szCs w:val="20"/>
              </w:rPr>
              <w:t>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709" w:type="dxa"/>
          </w:tcPr>
          <w:p w:rsidR="00EB2A9A" w:rsidRPr="00565F2A" w:rsidRDefault="00EB2A9A" w:rsidP="000079CE">
            <w:pPr>
              <w:jc w:val="center"/>
              <w:rPr>
                <w:rFonts w:ascii="Times New Roman" w:hAnsi="Times New Roman" w:cs="Times New Roman"/>
              </w:rPr>
            </w:pPr>
            <w:r>
              <w:rPr>
                <w:rFonts w:ascii="Times New Roman" w:hAnsi="Times New Roman" w:cs="Times New Roman"/>
              </w:rPr>
              <w:t>16</w:t>
            </w:r>
          </w:p>
        </w:tc>
        <w:tc>
          <w:tcPr>
            <w:tcW w:w="673" w:type="dxa"/>
          </w:tcPr>
          <w:p w:rsidR="00EB2A9A" w:rsidRPr="00565F2A" w:rsidRDefault="00EB2A9A" w:rsidP="000079CE">
            <w:pPr>
              <w:jc w:val="center"/>
              <w:rPr>
                <w:rFonts w:ascii="Times New Roman" w:hAnsi="Times New Roman" w:cs="Times New Roman"/>
              </w:rPr>
            </w:pPr>
            <w:r>
              <w:rPr>
                <w:rFonts w:ascii="Times New Roman" w:hAnsi="Times New Roman" w:cs="Times New Roman"/>
              </w:rPr>
              <w:t>шт</w:t>
            </w:r>
          </w:p>
        </w:tc>
        <w:tc>
          <w:tcPr>
            <w:tcW w:w="1497" w:type="dxa"/>
          </w:tcPr>
          <w:p w:rsidR="00EB2A9A" w:rsidRPr="00EF4801" w:rsidRDefault="00EB2A9A" w:rsidP="000079CE">
            <w:pPr>
              <w:jc w:val="center"/>
              <w:rPr>
                <w:rFonts w:ascii="Times New Roman" w:hAnsi="Times New Roman" w:cs="Times New Roman"/>
              </w:rPr>
            </w:pPr>
            <w:r w:rsidRPr="00EF4801">
              <w:rPr>
                <w:rFonts w:ascii="Times New Roman" w:hAnsi="Times New Roman" w:cs="Times New Roman"/>
              </w:rPr>
              <w:t>32.50.50.190-00001212</w:t>
            </w:r>
            <w:r>
              <w:rPr>
                <w:rFonts w:ascii="Times New Roman" w:hAnsi="Times New Roman" w:cs="Times New Roman"/>
              </w:rPr>
              <w:t>*</w:t>
            </w:r>
          </w:p>
        </w:tc>
        <w:tc>
          <w:tcPr>
            <w:tcW w:w="1348" w:type="dxa"/>
            <w:shd w:val="clear" w:color="auto" w:fill="FFFFCC"/>
          </w:tcPr>
          <w:p w:rsidR="00EB2A9A" w:rsidRPr="002B2BA7" w:rsidRDefault="00EB2A9A" w:rsidP="000079CE">
            <w:pPr>
              <w:spacing w:after="0" w:line="240" w:lineRule="auto"/>
              <w:jc w:val="center"/>
              <w:rPr>
                <w:rFonts w:ascii="Times New Roman" w:hAnsi="Times New Roman" w:cs="Times New Roman"/>
                <w:lang w:eastAsia="ru-RU"/>
              </w:rPr>
            </w:pPr>
          </w:p>
        </w:tc>
        <w:tc>
          <w:tcPr>
            <w:tcW w:w="749" w:type="dxa"/>
            <w:shd w:val="clear" w:color="auto" w:fill="FFFFCC"/>
          </w:tcPr>
          <w:p w:rsidR="00EB2A9A" w:rsidRPr="002B2BA7" w:rsidRDefault="00EB2A9A" w:rsidP="000079CE">
            <w:pPr>
              <w:spacing w:after="0" w:line="240" w:lineRule="auto"/>
              <w:jc w:val="center"/>
              <w:rPr>
                <w:rFonts w:ascii="Times New Roman" w:hAnsi="Times New Roman" w:cs="Times New Roman"/>
                <w:lang w:eastAsia="ru-RU"/>
              </w:rPr>
            </w:pPr>
          </w:p>
        </w:tc>
        <w:tc>
          <w:tcPr>
            <w:tcW w:w="1198" w:type="dxa"/>
            <w:shd w:val="clear" w:color="auto" w:fill="FFFFCC"/>
          </w:tcPr>
          <w:p w:rsidR="00EB2A9A" w:rsidRPr="002B2BA7" w:rsidRDefault="00EB2A9A" w:rsidP="000079CE">
            <w:pPr>
              <w:spacing w:after="0" w:line="240" w:lineRule="auto"/>
              <w:jc w:val="center"/>
              <w:rPr>
                <w:rFonts w:ascii="Times New Roman" w:hAnsi="Times New Roman" w:cs="Times New Roman"/>
                <w:lang w:eastAsia="ru-RU"/>
              </w:rPr>
            </w:pPr>
          </w:p>
        </w:tc>
        <w:tc>
          <w:tcPr>
            <w:tcW w:w="1152" w:type="dxa"/>
            <w:shd w:val="clear" w:color="auto" w:fill="FFFFCC"/>
          </w:tcPr>
          <w:p w:rsidR="00EB2A9A" w:rsidRPr="002B2BA7" w:rsidRDefault="00EB2A9A" w:rsidP="000079CE">
            <w:pPr>
              <w:spacing w:after="0" w:line="240" w:lineRule="auto"/>
              <w:jc w:val="center"/>
              <w:rPr>
                <w:rFonts w:ascii="Times New Roman" w:hAnsi="Times New Roman" w:cs="Times New Roman"/>
                <w:lang w:eastAsia="ru-RU"/>
              </w:rPr>
            </w:pPr>
          </w:p>
        </w:tc>
      </w:tr>
    </w:tbl>
    <w:p w:rsidR="00EB2A9A" w:rsidRPr="006A1D66" w:rsidRDefault="00EB2A9A" w:rsidP="00EB2A9A">
      <w:pPr>
        <w:pStyle w:val="a7"/>
        <w:widowControl w:val="0"/>
        <w:spacing w:after="0"/>
        <w:ind w:left="0" w:firstLine="709"/>
        <w:jc w:val="both"/>
        <w:rPr>
          <w:rFonts w:ascii="Times New Roman" w:hAnsi="Times New Roman" w:cs="Times New Roman"/>
          <w:i/>
          <w:sz w:val="24"/>
          <w:szCs w:val="24"/>
        </w:rPr>
      </w:pPr>
      <w:bookmarkStart w:id="21" w:name="_Ref518475891"/>
      <w:bookmarkEnd w:id="21"/>
      <w:r w:rsidRPr="006A1D66">
        <w:rPr>
          <w:rFonts w:ascii="Times New Roman" w:hAnsi="Times New Roman" w:cs="Times New Roman"/>
          <w:b/>
          <w:bCs/>
          <w:sz w:val="24"/>
          <w:szCs w:val="24"/>
        </w:rPr>
        <w:t>* 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170252" w:rsidRDefault="00170252" w:rsidP="000820E3">
      <w:pPr>
        <w:rPr>
          <w:rFonts w:ascii="Times New Roman" w:hAnsi="Times New Roman" w:cs="Times New Roman"/>
          <w:b/>
          <w:sz w:val="28"/>
          <w:szCs w:val="28"/>
        </w:rPr>
      </w:pPr>
    </w:p>
    <w:sectPr w:rsidR="00170252" w:rsidSect="00EB2A9A">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4CD" w:rsidRDefault="00E604CD">
      <w:pPr>
        <w:spacing w:after="0" w:line="240" w:lineRule="auto"/>
      </w:pPr>
      <w:r>
        <w:separator/>
      </w:r>
    </w:p>
  </w:endnote>
  <w:endnote w:type="continuationSeparator" w:id="0">
    <w:p w:rsidR="00E604CD" w:rsidRDefault="00E6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8C2156" w:rsidRDefault="008C2156">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8C2156">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C2156">
          <w:rPr>
            <w:noProof/>
          </w:rPr>
          <w:t>5</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8C215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8C215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8C215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4CD" w:rsidRDefault="00E604CD">
      <w:pPr>
        <w:spacing w:after="0" w:line="240" w:lineRule="auto"/>
      </w:pPr>
      <w:r>
        <w:separator/>
      </w:r>
    </w:p>
  </w:footnote>
  <w:footnote w:type="continuationSeparator" w:id="0">
    <w:p w:rsidR="00E604CD" w:rsidRDefault="00E604CD">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8C2156" w:rsidRDefault="008C2156">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8C2156" w:rsidRDefault="008C2156">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8C2156" w:rsidRDefault="008C2156">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5B3A"/>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1DA4"/>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2156"/>
    <w:rsid w:val="008C7CC3"/>
    <w:rsid w:val="008D36C2"/>
    <w:rsid w:val="008E65F0"/>
    <w:rsid w:val="008F273B"/>
    <w:rsid w:val="008F3B0B"/>
    <w:rsid w:val="008F4DD1"/>
    <w:rsid w:val="0091306B"/>
    <w:rsid w:val="00924D15"/>
    <w:rsid w:val="00930289"/>
    <w:rsid w:val="00937E81"/>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604CD"/>
    <w:rsid w:val="00E70CD9"/>
    <w:rsid w:val="00E71162"/>
    <w:rsid w:val="00E768F9"/>
    <w:rsid w:val="00E76E96"/>
    <w:rsid w:val="00E80564"/>
    <w:rsid w:val="00E81B61"/>
    <w:rsid w:val="00E9435F"/>
    <w:rsid w:val="00E961F8"/>
    <w:rsid w:val="00E96350"/>
    <w:rsid w:val="00EB2A9A"/>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9CE70C-1F6B-43A2-85BF-6EEC1FBA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EADBD-0081-4EE9-ABD8-CE6ECC09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10165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2024-04-24T04:39:00Z</dcterms:created>
  <dcterms:modified xsi:type="dcterms:W3CDTF">2024-04-24T04:39:00Z</dcterms:modified>
</cp:coreProperties>
</file>